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B80B" w14:textId="2A07FBC2" w:rsidR="00907AD6" w:rsidRPr="00907AD6" w:rsidRDefault="00000000">
      <w:pPr>
        <w:spacing w:line="360" w:lineRule="auto"/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Veranstaltungsreihe: „</w:t>
      </w:r>
      <w:r w:rsidR="005A2FF5"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Leistung, Entgelt, Finanzierung</w:t>
      </w:r>
      <w:r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“</w:t>
      </w:r>
    </w:p>
    <w:p w14:paraId="35682EA0" w14:textId="444B21D2" w:rsidR="0075685D" w:rsidRDefault="005337C5">
      <w:pPr>
        <w:spacing w:line="360" w:lineRule="auto"/>
        <w:rPr>
          <w:rFonts w:ascii="Segoe UI" w:hAnsi="Segoe UI" w:cs="Segoe UI"/>
          <w:b/>
          <w:bCs/>
          <w:color w:val="005B93"/>
          <w:sz w:val="32"/>
          <w:szCs w:val="32"/>
        </w:rPr>
      </w:pPr>
      <w:r w:rsidRPr="005337C5">
        <w:rPr>
          <w:rFonts w:ascii="Segoe UI" w:hAnsi="Segoe UI" w:cs="Segoe UI"/>
          <w:b/>
          <w:bCs/>
          <w:color w:val="005B93"/>
          <w:sz w:val="32"/>
          <w:szCs w:val="32"/>
        </w:rPr>
        <w:t>Gewinnmargen und Risikozuschläge in der Kalkulation von Leistungsentgelten</w:t>
      </w:r>
    </w:p>
    <w:p w14:paraId="78D1858A" w14:textId="77777777" w:rsidR="00F02142" w:rsidRDefault="00907AD6" w:rsidP="00F02142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</w:t>
      </w:r>
      <w:r w:rsidR="00F02142">
        <w:rPr>
          <w:rFonts w:ascii="Segoe UI" w:hAnsi="Segoe UI" w:cs="Segoe UI"/>
          <w:b/>
          <w:bCs/>
          <w:shd w:val="clear" w:color="auto" w:fill="FFFFFF"/>
        </w:rPr>
        <w:t>as Thema</w:t>
      </w:r>
    </w:p>
    <w:p w14:paraId="34635320" w14:textId="53CC8F73" w:rsidR="005337C5" w:rsidRDefault="005337C5" w:rsidP="005337C5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5337C5">
        <w:rPr>
          <w:rFonts w:ascii="Segoe UI" w:hAnsi="Segoe UI" w:cs="Segoe UI"/>
          <w:shd w:val="clear" w:color="auto" w:fill="FFFFFF"/>
        </w:rPr>
        <w:t xml:space="preserve">Immer wieder wird die “Geschäftemacherei mit der Not von Kindern” angeprangert und mit dem reißerischen Titel “Mit Kindern Kasse machen” versehen. Auch in Verhandlungen mit dem Träger der öffentlichen Jugendhilfe </w:t>
      </w:r>
      <w:r w:rsidR="00F846DB">
        <w:rPr>
          <w:rFonts w:ascii="Segoe UI" w:hAnsi="Segoe UI" w:cs="Segoe UI"/>
          <w:shd w:val="clear" w:color="auto" w:fill="FFFFFF"/>
        </w:rPr>
        <w:t xml:space="preserve">ist </w:t>
      </w:r>
      <w:r w:rsidRPr="005337C5">
        <w:rPr>
          <w:rFonts w:ascii="Segoe UI" w:hAnsi="Segoe UI" w:cs="Segoe UI"/>
          <w:shd w:val="clear" w:color="auto" w:fill="FFFFFF"/>
        </w:rPr>
        <w:t xml:space="preserve">das Thema “Gewinne” oft </w:t>
      </w:r>
      <w:r w:rsidR="00F846DB">
        <w:rPr>
          <w:rFonts w:ascii="Segoe UI" w:hAnsi="Segoe UI" w:cs="Segoe UI"/>
          <w:shd w:val="clear" w:color="auto" w:fill="FFFFFF"/>
        </w:rPr>
        <w:t>umstritten</w:t>
      </w:r>
      <w:r w:rsidRPr="005337C5">
        <w:rPr>
          <w:rFonts w:ascii="Segoe UI" w:hAnsi="Segoe UI" w:cs="Segoe UI"/>
          <w:shd w:val="clear" w:color="auto" w:fill="FFFFFF"/>
        </w:rPr>
        <w:t>. Die Rechtsprechung erkennt jedoch mittlerweile den Anspruch der Einrichtungsträger auf Gewinne und Risikozuschläge an.</w:t>
      </w:r>
      <w:r>
        <w:rPr>
          <w:rFonts w:ascii="Segoe UI" w:hAnsi="Segoe UI" w:cs="Segoe UI"/>
          <w:shd w:val="clear" w:color="auto" w:fill="FFFFFF"/>
        </w:rPr>
        <w:t xml:space="preserve"> </w:t>
      </w:r>
      <w:r w:rsidRPr="005337C5">
        <w:rPr>
          <w:rFonts w:ascii="Segoe UI" w:hAnsi="Segoe UI" w:cs="Segoe UI"/>
          <w:shd w:val="clear" w:color="auto" w:fill="FFFFFF"/>
        </w:rPr>
        <w:t xml:space="preserve">Daher ist es sinnvoll und wichtig, angemessene Gewinnmargen in Entgeltverhandlungen </w:t>
      </w:r>
      <w:r>
        <w:rPr>
          <w:rFonts w:ascii="Segoe UI" w:hAnsi="Segoe UI" w:cs="Segoe UI"/>
          <w:shd w:val="clear" w:color="auto" w:fill="FFFFFF"/>
        </w:rPr>
        <w:t>geltend zu machen</w:t>
      </w:r>
      <w:r w:rsidRPr="005337C5">
        <w:rPr>
          <w:rFonts w:ascii="Segoe UI" w:hAnsi="Segoe UI" w:cs="Segoe UI"/>
          <w:shd w:val="clear" w:color="auto" w:fill="FFFFFF"/>
        </w:rPr>
        <w:t>.</w:t>
      </w:r>
    </w:p>
    <w:p w14:paraId="3D43D355" w14:textId="12F0A129" w:rsidR="00F02142" w:rsidRDefault="00F02142" w:rsidP="005337C5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6E0F4954" w14:textId="6ABD167E" w:rsidR="00F02142" w:rsidRPr="00F02142" w:rsidRDefault="00F02142" w:rsidP="008E2E78">
      <w:pPr>
        <w:spacing w:line="360" w:lineRule="auto"/>
        <w:rPr>
          <w:rFonts w:ascii="Segoe UI" w:hAnsi="Segoe UI" w:cs="Segoe UI"/>
        </w:rPr>
      </w:pPr>
      <w:r w:rsidRPr="008E2E78">
        <w:rPr>
          <w:rFonts w:ascii="Segoe UI" w:hAnsi="Segoe UI" w:cs="Segoe UI"/>
        </w:rPr>
        <w:t>Mitarbeitende bei Trägern der freien Jugendhilfe</w:t>
      </w:r>
      <w:r w:rsidR="00F846DB">
        <w:rPr>
          <w:rFonts w:ascii="Segoe UI" w:hAnsi="Segoe UI" w:cs="Segoe UI"/>
        </w:rPr>
        <w:t xml:space="preserve"> und von Jugendämtern</w:t>
      </w:r>
      <w:r w:rsidRPr="008E2E78">
        <w:rPr>
          <w:rFonts w:ascii="Segoe UI" w:hAnsi="Segoe UI" w:cs="Segoe UI"/>
        </w:rPr>
        <w:t xml:space="preserve">, </w:t>
      </w:r>
      <w:r w:rsidR="006F2736">
        <w:rPr>
          <w:rFonts w:ascii="Segoe UI" w:hAnsi="Segoe UI" w:cs="Segoe UI"/>
        </w:rPr>
        <w:t>die an Verhandlungen beteiligt sind</w:t>
      </w:r>
      <w:r w:rsidR="00907AD6" w:rsidRPr="008E2E78">
        <w:rPr>
          <w:rFonts w:ascii="Segoe UI" w:hAnsi="Segoe UI" w:cs="Segoe UI"/>
        </w:rPr>
        <w:t xml:space="preserve">. </w:t>
      </w:r>
    </w:p>
    <w:p w14:paraId="5B7D1978" w14:textId="77777777" w:rsidR="0075685D" w:rsidRDefault="00000000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6946F778" w14:textId="52F5A5ED" w:rsidR="0075685D" w:rsidRDefault="006F2736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Rechtsanwalt Prof. Dr. Florian Gerlach, </w:t>
      </w:r>
      <w:proofErr w:type="spellStart"/>
      <w:r>
        <w:rPr>
          <w:rFonts w:ascii="Segoe UI" w:hAnsi="Segoe UI" w:cs="Segoe UI"/>
          <w:shd w:val="clear" w:color="auto" w:fill="FFFFFF"/>
        </w:rPr>
        <w:t>IReSA</w:t>
      </w:r>
      <w:proofErr w:type="spellEnd"/>
    </w:p>
    <w:p w14:paraId="40A019A1" w14:textId="0221FFA9" w:rsidR="008E2E78" w:rsidRDefault="006F2736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noProof/>
          <w:shd w:val="clear" w:color="auto" w:fill="FFFFFF"/>
        </w:rPr>
        <w:drawing>
          <wp:inline distT="0" distB="0" distL="0" distR="0" wp14:anchorId="6D59ACCA" wp14:editId="4DE343F5">
            <wp:extent cx="1752600" cy="1752600"/>
            <wp:effectExtent l="0" t="0" r="0" b="0"/>
            <wp:docPr id="16530520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52099" name="Grafik 16530520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8A00" w14:textId="0FD8C3D7" w:rsidR="0075685D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F02142">
        <w:rPr>
          <w:rFonts w:ascii="Segoe UI" w:hAnsi="Segoe UI" w:cs="Segoe UI"/>
          <w:b/>
          <w:shd w:val="clear" w:color="auto" w:fill="FFFFFF"/>
        </w:rPr>
        <w:t>Termin</w:t>
      </w:r>
      <w:r w:rsidRPr="00F02142">
        <w:rPr>
          <w:rFonts w:ascii="Segoe UI" w:hAnsi="Segoe UI" w:cs="Segoe UI"/>
          <w:shd w:val="clear" w:color="auto" w:fill="FFFFFF"/>
        </w:rPr>
        <w:t xml:space="preserve">: </w:t>
      </w:r>
      <w:r w:rsidR="004A237A">
        <w:rPr>
          <w:rFonts w:ascii="Segoe UI" w:hAnsi="Segoe UI" w:cs="Segoe UI"/>
          <w:shd w:val="clear" w:color="auto" w:fill="FFFFFF"/>
        </w:rPr>
        <w:t>1</w:t>
      </w:r>
      <w:r w:rsidR="005337C5">
        <w:rPr>
          <w:rFonts w:ascii="Segoe UI" w:hAnsi="Segoe UI" w:cs="Segoe UI"/>
          <w:shd w:val="clear" w:color="auto" w:fill="FFFFFF"/>
        </w:rPr>
        <w:t>9</w:t>
      </w:r>
      <w:r w:rsidR="008E2E78">
        <w:rPr>
          <w:rFonts w:ascii="Segoe UI" w:hAnsi="Segoe UI" w:cs="Segoe UI"/>
          <w:shd w:val="clear" w:color="auto" w:fill="FFFFFF"/>
        </w:rPr>
        <w:t>. März 2025, 09:00 bis 1</w:t>
      </w:r>
      <w:r w:rsidR="00F846DB">
        <w:rPr>
          <w:rFonts w:ascii="Segoe UI" w:hAnsi="Segoe UI" w:cs="Segoe UI"/>
          <w:shd w:val="clear" w:color="auto" w:fill="FFFFFF"/>
        </w:rPr>
        <w:t>1</w:t>
      </w:r>
      <w:r w:rsidR="006F2736">
        <w:rPr>
          <w:rFonts w:ascii="Segoe UI" w:hAnsi="Segoe UI" w:cs="Segoe UI"/>
          <w:shd w:val="clear" w:color="auto" w:fill="FFFFFF"/>
        </w:rPr>
        <w:t>:</w:t>
      </w:r>
      <w:r w:rsidR="00F846DB">
        <w:rPr>
          <w:rFonts w:ascii="Segoe UI" w:hAnsi="Segoe UI" w:cs="Segoe UI"/>
          <w:shd w:val="clear" w:color="auto" w:fill="FFFFFF"/>
        </w:rPr>
        <w:t>3</w:t>
      </w:r>
      <w:r w:rsidR="006F2736">
        <w:rPr>
          <w:rFonts w:ascii="Segoe UI" w:hAnsi="Segoe UI" w:cs="Segoe UI"/>
          <w:shd w:val="clear" w:color="auto" w:fill="FFFFFF"/>
        </w:rPr>
        <w:t>0</w:t>
      </w:r>
      <w:r w:rsidR="008E2E78">
        <w:rPr>
          <w:rFonts w:ascii="Segoe UI" w:hAnsi="Segoe UI" w:cs="Segoe UI"/>
          <w:shd w:val="clear" w:color="auto" w:fill="FFFFFF"/>
        </w:rPr>
        <w:t xml:space="preserve"> Uhr</w:t>
      </w:r>
    </w:p>
    <w:p w14:paraId="77120B0C" w14:textId="294B9D51" w:rsidR="0075685D" w:rsidRPr="00F02142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F02142">
        <w:rPr>
          <w:rFonts w:ascii="Segoe UI" w:hAnsi="Segoe UI" w:cs="Segoe UI"/>
          <w:b/>
          <w:bCs/>
          <w:shd w:val="clear" w:color="auto" w:fill="FFFFFF"/>
        </w:rPr>
        <w:t>Ort</w:t>
      </w:r>
      <w:r w:rsidRPr="00F02142">
        <w:rPr>
          <w:rFonts w:ascii="Segoe UI" w:hAnsi="Segoe UI" w:cs="Segoe UI"/>
          <w:shd w:val="clear" w:color="auto" w:fill="FFFFFF"/>
        </w:rPr>
        <w:t>: Live-Webinar</w:t>
      </w:r>
    </w:p>
    <w:p w14:paraId="0A3EBE87" w14:textId="24962D8A" w:rsidR="0075685D" w:rsidRPr="00ED53C6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A323DB">
        <w:rPr>
          <w:rFonts w:ascii="Segoe UI" w:hAnsi="Segoe UI" w:cs="Segoe UI"/>
          <w:shd w:val="clear" w:color="auto" w:fill="FFFFFF"/>
        </w:rPr>
        <w:t>kostenlos (in der Veranstaltung präsentieren wir auch unser neues Leistungsangebot „</w:t>
      </w:r>
      <w:proofErr w:type="spellStart"/>
      <w:r w:rsidR="00A323DB">
        <w:rPr>
          <w:rFonts w:ascii="Segoe UI" w:hAnsi="Segoe UI" w:cs="Segoe UI"/>
          <w:shd w:val="clear" w:color="auto" w:fill="FFFFFF"/>
        </w:rPr>
        <w:t>IReSA</w:t>
      </w:r>
      <w:proofErr w:type="spellEnd"/>
      <w:r w:rsidR="00A323DB">
        <w:rPr>
          <w:rFonts w:ascii="Segoe UI" w:hAnsi="Segoe UI" w:cs="Segoe UI"/>
          <w:shd w:val="clear" w:color="auto" w:fill="FFFFFF"/>
        </w:rPr>
        <w:t xml:space="preserve"> Servicecenter Jugendhilfe“)</w:t>
      </w:r>
    </w:p>
    <w:p w14:paraId="241FFB90" w14:textId="77777777" w:rsidR="007057CF" w:rsidRDefault="007057CF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lastRenderedPageBreak/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6BD876C7" w14:textId="0D295EBB" w:rsidR="0083348C" w:rsidRPr="0083348C" w:rsidRDefault="00000000" w:rsidP="008E2E78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641299E7" w14:textId="03E183AB" w:rsidR="005337C5" w:rsidRPr="005337C5" w:rsidRDefault="005337C5" w:rsidP="006F2736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005337C5">
        <w:rPr>
          <w:rFonts w:ascii="Segoe UI" w:hAnsi="Segoe UI" w:cs="Segoe UI"/>
          <w:shd w:val="clear" w:color="auto" w:fill="FFFFFF"/>
        </w:rPr>
        <w:t>In diesem Webinar erläutern wir die aktuelle Rechtsprechung und zeigen Ihnen, wie</w:t>
      </w:r>
      <w:r w:rsidR="00F846DB">
        <w:rPr>
          <w:rFonts w:ascii="Segoe UI" w:hAnsi="Segoe UI" w:cs="Segoe UI"/>
          <w:shd w:val="clear" w:color="auto" w:fill="FFFFFF"/>
        </w:rPr>
        <w:t xml:space="preserve"> </w:t>
      </w:r>
      <w:r w:rsidRPr="005337C5">
        <w:rPr>
          <w:rFonts w:ascii="Segoe UI" w:hAnsi="Segoe UI" w:cs="Segoe UI"/>
          <w:shd w:val="clear" w:color="auto" w:fill="FFFFFF"/>
        </w:rPr>
        <w:t xml:space="preserve">Gewinnmargen und Risikozuschläge transparent in die Entgeltkalkulation </w:t>
      </w:r>
      <w:r w:rsidR="00F846DB">
        <w:rPr>
          <w:rFonts w:ascii="Segoe UI" w:hAnsi="Segoe UI" w:cs="Segoe UI"/>
          <w:shd w:val="clear" w:color="auto" w:fill="FFFFFF"/>
        </w:rPr>
        <w:t xml:space="preserve">einbezogen werden </w:t>
      </w:r>
      <w:r w:rsidRPr="005337C5">
        <w:rPr>
          <w:rFonts w:ascii="Segoe UI" w:hAnsi="Segoe UI" w:cs="Segoe UI"/>
          <w:shd w:val="clear" w:color="auto" w:fill="FFFFFF"/>
        </w:rPr>
        <w:t>können.</w:t>
      </w:r>
    </w:p>
    <w:p w14:paraId="4982C7C6" w14:textId="53D59CBB" w:rsidR="0075685D" w:rsidRPr="00F846DB" w:rsidRDefault="006F2736" w:rsidP="00F846DB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006F2736">
        <w:rPr>
          <w:rFonts w:ascii="Segoe UI" w:hAnsi="Segoe UI" w:cs="Segoe UI"/>
        </w:rPr>
        <w:t>Aktuelle Rechtsprechung im Fokus</w:t>
      </w:r>
      <w:r>
        <w:rPr>
          <w:rFonts w:ascii="Segoe UI" w:hAnsi="Segoe UI" w:cs="Segoe UI"/>
        </w:rPr>
        <w:t>.</w:t>
      </w:r>
      <w:r w:rsidRPr="006F2736">
        <w:rPr>
          <w:rFonts w:ascii="Segoe UI" w:hAnsi="Segoe UI" w:cs="Segoe UI"/>
        </w:rPr>
        <w:t xml:space="preserve"> Wir analysieren die neueste Rechtsprechung, insbesondere des Bayerischen Verwaltungsgerichtshofs sowie der Schiedsstellen, die maßgeblich für die Verhandlungspraxis sind.</w:t>
      </w:r>
    </w:p>
    <w:sectPr w:rsidR="0075685D" w:rsidRPr="00F846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26AF" w14:textId="77777777" w:rsidR="00767B02" w:rsidRDefault="00767B02">
      <w:pPr>
        <w:spacing w:before="0" w:after="0"/>
      </w:pPr>
      <w:r>
        <w:separator/>
      </w:r>
    </w:p>
  </w:endnote>
  <w:endnote w:type="continuationSeparator" w:id="0">
    <w:p w14:paraId="1EA25648" w14:textId="77777777" w:rsidR="00767B02" w:rsidRDefault="00767B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75685D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4A237A">
      <w:rPr>
        <w:lang w:val="en-US"/>
      </w:rPr>
      <w:instrText>HYPERLINK "http://www.iresa.education/" \h</w:instrText>
    </w:r>
    <w:r>
      <w:fldChar w:fldCharType="separate"/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fldChar w:fldCharType="end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75685D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4A237A">
      <w:rPr>
        <w:lang w:val="en-US"/>
      </w:rPr>
      <w:instrText>HYPERLINK "http://www.iresa.education/" \h</w:instrText>
    </w:r>
    <w:r>
      <w:fldChar w:fldCharType="separate"/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fldChar w:fldCharType="end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1F0E" w14:textId="77777777" w:rsidR="00767B02" w:rsidRDefault="00767B02">
      <w:pPr>
        <w:spacing w:before="0" w:after="0"/>
      </w:pPr>
      <w:r>
        <w:separator/>
      </w:r>
    </w:p>
  </w:footnote>
  <w:footnote w:type="continuationSeparator" w:id="0">
    <w:p w14:paraId="4E961D7E" w14:textId="77777777" w:rsidR="00767B02" w:rsidRDefault="00767B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1"/>
  </w:num>
  <w:num w:numId="2" w16cid:durableId="3733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1F1289"/>
    <w:rsid w:val="00263F14"/>
    <w:rsid w:val="00277A3E"/>
    <w:rsid w:val="002A2F9A"/>
    <w:rsid w:val="002D0729"/>
    <w:rsid w:val="003B7539"/>
    <w:rsid w:val="004A237A"/>
    <w:rsid w:val="004E4DB0"/>
    <w:rsid w:val="005115F3"/>
    <w:rsid w:val="005337C5"/>
    <w:rsid w:val="00590783"/>
    <w:rsid w:val="005A2FF5"/>
    <w:rsid w:val="005F089E"/>
    <w:rsid w:val="006C3D1D"/>
    <w:rsid w:val="006E7C39"/>
    <w:rsid w:val="006F2736"/>
    <w:rsid w:val="007057CF"/>
    <w:rsid w:val="0075685D"/>
    <w:rsid w:val="00767B02"/>
    <w:rsid w:val="007A0C85"/>
    <w:rsid w:val="007C51FC"/>
    <w:rsid w:val="00817C00"/>
    <w:rsid w:val="0083348C"/>
    <w:rsid w:val="008E2E78"/>
    <w:rsid w:val="00907AD6"/>
    <w:rsid w:val="009112FF"/>
    <w:rsid w:val="009238AF"/>
    <w:rsid w:val="00A323DB"/>
    <w:rsid w:val="00AB2BE2"/>
    <w:rsid w:val="00DD0C14"/>
    <w:rsid w:val="00E4312A"/>
    <w:rsid w:val="00E444EF"/>
    <w:rsid w:val="00ED53C6"/>
    <w:rsid w:val="00F02142"/>
    <w:rsid w:val="00F4334E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Florian Gerlach</cp:lastModifiedBy>
  <cp:revision>5</cp:revision>
  <cp:lastPrinted>2025-01-27T10:14:00Z</cp:lastPrinted>
  <dcterms:created xsi:type="dcterms:W3CDTF">2025-01-27T10:20:00Z</dcterms:created>
  <dcterms:modified xsi:type="dcterms:W3CDTF">2025-01-27T10:35:00Z</dcterms:modified>
  <dc:language>de-DE</dc:language>
</cp:coreProperties>
</file>